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2007/95 vom 11. Dezember 2007</w:t>
      </w:r>
    </w:p>
    <w:p>
      <w:r>
        <w:t>Sg Versicherungsgericht, 2007-12-11, DE</w:t>
      </w:r>
    </w:p>
    <w:p>
      <w:r>
        <w:rPr>
          <w:b/>
        </w:rPr>
        <w:t xml:space="preserve">Quelle: </w:t>
      </w:r>
      <w:r>
        <w:t>https://mcp.opencaselaw.ch/entscheid/sg_publikationen_AVI 2007_95</w:t>
      </w:r>
    </w:p>
    <w:p>
      <w:r>
        <w:t>FR: SG_VERSICHERUNGSGERICHT AVI 2007/95 du 11 décembre 2007</w:t>
      </w:r>
    </w:p>
    <w:p>
      <w:r>
        <w:t>IT: SG_VERSICHERUNGSGERICHT AVI 2007/95 del 11 dicembre 2007</w:t>
      </w:r>
    </w:p>
    <w:p>
      <w:pPr>
        <w:pStyle w:val="Heading2"/>
      </w:pPr>
      <w:r>
        <w:t>Regeste</w:t>
      </w:r>
    </w:p>
    <w:p>
      <w:r>
        <w:t>Art. 14 Abs. 2 AVIG. Bei der Reduktion des nachehelichen Unterhaltes handelt es sich um einen ähnlichen Grund im Sinn von Art. 14 Abs. 2 AVIG. Die vorübergehende Ausrichtung von Ersatzleistungen, ohne Anerkennung einer Rechtspflicht, durch eine Versicherung unterbricht den Kausalzusammenhang nicht (Entscheid des Versicherungsgerichts des Kantons St. Gallen vom 11. Dezember 2007, AVI 2007/95).</w:t>
      </w:r>
    </w:p>
    <w:p>
      <w:pPr>
        <w:pStyle w:val="Heading2"/>
      </w:pPr>
      <w:r>
        <w:t>Erwägungen</w:t>
      </w:r>
    </w:p>
    <w:p>
      <w:r>
        <w:rPr>
          <w:b/>
        </w:rPr>
        <w:t>E. 1</w:t>
      </w:r>
    </w:p>
    <w:p>
      <w:r>
        <w:t>Zu den Voraussetzungen des Anspruchs auf Arbeitslosenentschädigung gehört gemäss Art. 8 Abs. 1 lit. e AVIG unter anderem, dass die versicherte Person die Beitragszeit erfüllt hat oder von der Erfüllung der Beitragszeit befreit ist. Von der Erfüllung der Beitragszeit befreit sind unter anderem Personen, die wegen Trennung oder Scheidung der Ehe oder aus ähnlichen Gründen gezwungen sind, eine unselbstständige Erwerbstätigkeit aufzunehmen oder zu erweitern. Diese Regel gilt nur dann, wenn das betreffende Ereignis nicht mehr als ein Jahr zurückliegt und die betroffene Person bei Eintritt dieses Ereignisses ihren Wohnsitz in der Schweiz hatte (Art. 14 Abs. 2 AVIG). Ob es sich bei einer lange im Voraus vereinbarten Reduktion von Alimentenzahlungen um einen ähnlichen Grund im Sinn von Art. 14 Abs. 2 AVIG handelt, kann im vorliegenden Fall offen gelassen werden. Denn auch wenn es sich um einen solchen handelt, muss er kausal für die Aufnahme der Erwerbstätigkeit sein.</w:t>
      </w:r>
    </w:p>
    <w:p>
      <w:r>
        <w:rPr>
          <w:b/>
        </w:rPr>
        <w:t>E. 2</w:t>
      </w:r>
    </w:p>
    <w:p>
      <w:r>
        <w:t>2.1    Gemäss geltender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 zu verlangen. Vernünftigerweise ist der erforderliche Kausalzusammenhang in diesem Fall bereits zu bejahen, wenn es glaubwürdig und nachvollziehbar erscheint, dass der Entschluss der versicherten Person, eine unselbstständige Erwerbstätigkeit aufzunehmen, in dem als Befreiungsgrund in Frage kommenden Ereignis mit begründet liegt (BGE 131 V 283 E. 2.4 mit Hinweisen). Kein solcher Zusammenhang liegt vor, wenn die versicherte Person bereits vor Eintritt des Grundes eine Erwerbstätigkeit aufnehmen wollte ( BGE 125 V 124 E. 2a mit Hinweisen, 121 V 344 E. 5c/cc; ARV 1987 Nr. 5 S. 70 E. 2d). 2.2    Nach Ansicht der Beschwerdeführerin ist der Kausalzusammenhang klar gegeben. Schon mit den vorherigen Alimenten sei sie kaum durchgekommen und eine monatliche Einbusse von Fr. 1'000.-- sei nicht verkraftbar. Daher sei sie klar gezwungen mehr zu arbeiten, doch sie finde keine Stelle. In der Tat fing sie bereits im März 2004 an, stundenweise bei A.___ zu arbeiten, um das knappe Haushaltsbudget aufzubessern. Die Beschwerdeführerin macht in ihrer Beschwerde auch geltend, dass sie "bereits seit Jahren" nach einer Anstellung suche. Sie legt damit selber dar, dass sie schon lange vor der Alimentenreduktion eine Arbeit mit einem grösseren Arbeitspensum sucht. Der Entschluss der Beschwerdeführerin eine Arbeit aufzunehmen oder zu erweitern kann daher nicht in der ab September 2006 erfolgten Alimentenreduktion gesehen werden. Damit ist der Kausalzusammenhang zu verneinen. 2.3    Aufgrund obiger Ausführungen ist die Beschwerde abzuweisen. Gerichtskosten sind keine zu erheben. Aufgrund des Ausgangs des Verfahrens ist der Beschwerdeführerin keine Parteientschädigung zuzusprechen. Demgemäss hat das Versicherungsgericht entschieden: 1.        Die Beschwerde wird abgewiesen. 2.        Es werden keine Gerichtskosten erhoben. 3.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